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292ED6">
      <w:pPr>
        <w:pStyle w:val="BodyText"/>
        <w:spacing w:before="3"/>
        <w:rPr>
          <w:sz w:val="18"/>
        </w:rPr>
      </w:pPr>
      <w:r w:rsidRPr="00292ED6">
        <w:rPr>
          <w:noProof/>
          <w:sz w:val="18"/>
          <w:lang w:bidi="ar-SA"/>
        </w:rPr>
        <w:drawing>
          <wp:inline distT="0" distB="0" distL="0" distR="0">
            <wp:extent cx="651754" cy="729603"/>
            <wp:effectExtent l="0" t="0" r="0" b="0"/>
            <wp:docPr id="2" name="Picture 2" descr="C:\Users\S_Gurmeva\Desktop\NFM\Лого НФ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_Gurmeva\Desktop\NFM\Лого НФМ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82" cy="75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ED" w:rsidRDefault="00292ED6" w:rsidP="00292ED6">
      <w:pPr>
        <w:spacing w:before="86"/>
        <w:rPr>
          <w:sz w:val="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5095665</wp:posOffset>
            </wp:positionH>
            <wp:positionV relativeFrom="paragraph">
              <wp:posOffset>-1185430</wp:posOffset>
            </wp:positionV>
            <wp:extent cx="2336370" cy="14768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370" cy="14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spacing w:before="10"/>
        <w:rPr>
          <w:sz w:val="21"/>
        </w:rPr>
      </w:pPr>
    </w:p>
    <w:p w:rsidR="00F370ED" w:rsidRDefault="00292ED6">
      <w:pPr>
        <w:spacing w:before="88"/>
        <w:ind w:left="2469"/>
        <w:rPr>
          <w:sz w:val="27"/>
        </w:rPr>
      </w:pPr>
      <w:r>
        <w:rPr>
          <w:w w:val="110"/>
          <w:sz w:val="27"/>
        </w:rPr>
        <w:t>ИЗМЕНЕННЕ (АДЕНДУМ) КЪМ</w:t>
      </w:r>
    </w:p>
    <w:p w:rsidR="00F370ED" w:rsidRDefault="00292ED6">
      <w:pPr>
        <w:spacing w:before="120"/>
        <w:ind w:left="1419"/>
        <w:rPr>
          <w:sz w:val="28"/>
        </w:rPr>
      </w:pPr>
      <w:r>
        <w:rPr>
          <w:b/>
          <w:sz w:val="28"/>
        </w:rPr>
        <w:t xml:space="preserve">СПОРАЗУМЕННЕ </w:t>
      </w:r>
      <w:r>
        <w:rPr>
          <w:sz w:val="28"/>
        </w:rPr>
        <w:t xml:space="preserve">ЗА </w:t>
      </w:r>
      <w:r>
        <w:rPr>
          <w:b/>
          <w:sz w:val="28"/>
        </w:rPr>
        <w:t xml:space="preserve">ИЗПЪЛНЕНПЕ </w:t>
      </w:r>
      <w:r>
        <w:rPr>
          <w:sz w:val="28"/>
        </w:rPr>
        <w:t>НА ПРОГРАМА</w:t>
      </w:r>
    </w:p>
    <w:p w:rsidR="00F370ED" w:rsidRDefault="00E53120">
      <w:pPr>
        <w:spacing w:before="2"/>
        <w:ind w:left="3480"/>
        <w:rPr>
          <w:sz w:val="28"/>
        </w:rPr>
      </w:pPr>
      <w:r>
        <w:rPr>
          <w:w w:val="105"/>
          <w:sz w:val="28"/>
        </w:rPr>
        <w:t>„ПРАВОСЪДИ</w:t>
      </w:r>
      <w:bookmarkStart w:id="0" w:name="_GoBack"/>
      <w:bookmarkEnd w:id="0"/>
      <w:r w:rsidR="00292ED6">
        <w:rPr>
          <w:w w:val="105"/>
          <w:sz w:val="28"/>
        </w:rPr>
        <w:t>Е“</w:t>
      </w:r>
    </w:p>
    <w:p w:rsidR="00F370ED" w:rsidRDefault="00F370ED">
      <w:pPr>
        <w:pStyle w:val="BodyText"/>
        <w:rPr>
          <w:sz w:val="30"/>
        </w:rPr>
      </w:pPr>
    </w:p>
    <w:p w:rsidR="00F370ED" w:rsidRDefault="00F370ED">
      <w:pPr>
        <w:pStyle w:val="BodyText"/>
        <w:rPr>
          <w:sz w:val="30"/>
        </w:rPr>
      </w:pPr>
    </w:p>
    <w:p w:rsidR="00F370ED" w:rsidRDefault="00292ED6">
      <w:pPr>
        <w:pStyle w:val="BodyText"/>
        <w:spacing w:before="221" w:line="275" w:lineRule="exact"/>
        <w:ind w:left="814"/>
      </w:pPr>
      <w:r>
        <w:t>Настоящото из</w:t>
      </w:r>
      <w:r w:rsidR="00AA67AC">
        <w:t>менение (Адендум) хъм Споразумен</w:t>
      </w:r>
      <w:r>
        <w:t>ие за изпълнение на програма</w:t>
      </w:r>
    </w:p>
    <w:p w:rsidR="00F370ED" w:rsidRDefault="00AA67AC">
      <w:pPr>
        <w:pStyle w:val="BodyText"/>
        <w:spacing w:line="275" w:lineRule="exact"/>
        <w:ind w:left="112"/>
        <w:jc w:val="both"/>
      </w:pPr>
      <w:r>
        <w:t>„Правосъдие“ се ск</w:t>
      </w:r>
      <w:r w:rsidR="00292ED6">
        <w:t>лючи между:</w:t>
      </w:r>
    </w:p>
    <w:p w:rsidR="00F370ED" w:rsidRDefault="00F370ED">
      <w:pPr>
        <w:pStyle w:val="BodyText"/>
        <w:rPr>
          <w:sz w:val="26"/>
        </w:rPr>
      </w:pPr>
    </w:p>
    <w:p w:rsidR="00F370ED" w:rsidRDefault="00292ED6">
      <w:pPr>
        <w:spacing w:before="226" w:line="237" w:lineRule="auto"/>
        <w:ind w:left="108" w:right="1627" w:firstLine="4"/>
        <w:jc w:val="both"/>
        <w:rPr>
          <w:sz w:val="24"/>
        </w:rPr>
      </w:pPr>
      <w:r>
        <w:rPr>
          <w:b/>
          <w:sz w:val="24"/>
        </w:rPr>
        <w:t>Директора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дирекция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„Централно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координационно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звено“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администрацията</w:t>
      </w:r>
      <w:r>
        <w:rPr>
          <w:b/>
          <w:spacing w:val="-27"/>
          <w:sz w:val="24"/>
        </w:rPr>
        <w:t xml:space="preserve"> </w:t>
      </w:r>
      <w:r w:rsidR="00AA67AC">
        <w:rPr>
          <w:b/>
          <w:sz w:val="24"/>
        </w:rPr>
        <w:t>на Минис</w:t>
      </w:r>
      <w:r>
        <w:rPr>
          <w:b/>
          <w:sz w:val="24"/>
        </w:rPr>
        <w:t>терски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съвет,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5"/>
          <w:sz w:val="24"/>
        </w:rPr>
        <w:t xml:space="preserve"> </w:t>
      </w:r>
      <w:r>
        <w:rPr>
          <w:sz w:val="24"/>
        </w:rPr>
        <w:t>качеството</w:t>
      </w:r>
      <w:r>
        <w:rPr>
          <w:spacing w:val="-16"/>
          <w:sz w:val="24"/>
        </w:rPr>
        <w:t xml:space="preserve"> </w:t>
      </w:r>
      <w:r>
        <w:rPr>
          <w:sz w:val="24"/>
        </w:rPr>
        <w:t>му</w:t>
      </w:r>
      <w:r>
        <w:rPr>
          <w:spacing w:val="-30"/>
          <w:sz w:val="24"/>
        </w:rPr>
        <w:t xml:space="preserve"> </w:t>
      </w:r>
      <w:r>
        <w:rPr>
          <w:sz w:val="24"/>
        </w:rPr>
        <w:t>на</w:t>
      </w:r>
      <w:r>
        <w:rPr>
          <w:spacing w:val="-29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-23"/>
          <w:sz w:val="24"/>
        </w:rPr>
        <w:t xml:space="preserve"> </w:t>
      </w:r>
      <w:r>
        <w:rPr>
          <w:sz w:val="24"/>
        </w:rPr>
        <w:t>на</w:t>
      </w:r>
      <w:r>
        <w:rPr>
          <w:spacing w:val="-32"/>
          <w:sz w:val="24"/>
        </w:rPr>
        <w:t xml:space="preserve"> </w:t>
      </w:r>
      <w:r>
        <w:rPr>
          <w:sz w:val="24"/>
        </w:rPr>
        <w:t>Националното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координационно звено по Норвежкия финансов механизъм 2014-2021 г., с адрес: </w:t>
      </w:r>
      <w:proofErr w:type="spellStart"/>
      <w:r>
        <w:rPr>
          <w:sz w:val="24"/>
        </w:rPr>
        <w:t>rp</w:t>
      </w:r>
      <w:proofErr w:type="spellEnd"/>
      <w:r>
        <w:rPr>
          <w:sz w:val="24"/>
        </w:rPr>
        <w:t>. София 1594,</w:t>
      </w:r>
      <w:r>
        <w:rPr>
          <w:spacing w:val="-33"/>
          <w:sz w:val="24"/>
        </w:rPr>
        <w:t xml:space="preserve"> </w:t>
      </w:r>
      <w:r>
        <w:rPr>
          <w:sz w:val="24"/>
        </w:rPr>
        <w:t>бул.</w:t>
      </w:r>
    </w:p>
    <w:p w:rsidR="00F370ED" w:rsidRDefault="00AA67AC">
      <w:pPr>
        <w:pStyle w:val="BodyText"/>
        <w:spacing w:line="275" w:lineRule="exact"/>
        <w:ind w:left="112"/>
        <w:jc w:val="both"/>
      </w:pPr>
      <w:r>
        <w:t>„Дон</w:t>
      </w:r>
      <w:r w:rsidR="00292ED6">
        <w:t xml:space="preserve">дуков“ </w:t>
      </w:r>
      <w:r w:rsidR="00292ED6">
        <w:rPr>
          <w:i/>
        </w:rPr>
        <w:t xml:space="preserve">N. 1, </w:t>
      </w:r>
      <w:r w:rsidR="00292ED6">
        <w:t>от една страна,</w:t>
      </w:r>
    </w:p>
    <w:p w:rsidR="00F370ED" w:rsidRDefault="00F370ED">
      <w:pPr>
        <w:pStyle w:val="BodyText"/>
        <w:rPr>
          <w:sz w:val="26"/>
        </w:rPr>
      </w:pPr>
    </w:p>
    <w:p w:rsidR="00F370ED" w:rsidRDefault="00AA67AC">
      <w:pPr>
        <w:spacing w:before="227" w:line="237" w:lineRule="auto"/>
        <w:ind w:left="107" w:right="1623"/>
        <w:jc w:val="both"/>
        <w:rPr>
          <w:sz w:val="24"/>
        </w:rPr>
      </w:pPr>
      <w:r>
        <w:rPr>
          <w:b/>
          <w:sz w:val="24"/>
        </w:rPr>
        <w:t>Министерство на правосъдието на Републ</w:t>
      </w:r>
      <w:r w:rsidR="00292ED6">
        <w:rPr>
          <w:b/>
          <w:sz w:val="24"/>
        </w:rPr>
        <w:t xml:space="preserve">ика България </w:t>
      </w:r>
      <w:r w:rsidR="00292ED6">
        <w:rPr>
          <w:sz w:val="24"/>
        </w:rPr>
        <w:t xml:space="preserve">- Програмен оператор по програма „Правосъдие“, </w:t>
      </w:r>
      <w:r>
        <w:rPr>
          <w:sz w:val="24"/>
        </w:rPr>
        <w:t xml:space="preserve">с адрес: </w:t>
      </w:r>
      <w:proofErr w:type="spellStart"/>
      <w:r>
        <w:rPr>
          <w:sz w:val="24"/>
        </w:rPr>
        <w:t>rp</w:t>
      </w:r>
      <w:proofErr w:type="spellEnd"/>
      <w:r>
        <w:rPr>
          <w:sz w:val="24"/>
        </w:rPr>
        <w:t>. София 1040, ул. „Сл</w:t>
      </w:r>
      <w:r w:rsidR="00292ED6">
        <w:rPr>
          <w:sz w:val="24"/>
        </w:rPr>
        <w:t>авянска“ № 1, представлявано от проф. Николай Проданов, заместник-министър на правосъдието, от друга страна,</w:t>
      </w:r>
    </w:p>
    <w:p w:rsidR="00F370ED" w:rsidRDefault="00292ED6">
      <w:pPr>
        <w:pStyle w:val="BodyText"/>
        <w:spacing w:before="114"/>
        <w:ind w:left="110"/>
      </w:pPr>
      <w:r>
        <w:t>(„Страните“)</w:t>
      </w:r>
    </w:p>
    <w:p w:rsidR="00F370ED" w:rsidRDefault="00F370ED">
      <w:pPr>
        <w:pStyle w:val="BodyText"/>
        <w:spacing w:before="9"/>
        <w:rPr>
          <w:sz w:val="34"/>
        </w:rPr>
      </w:pPr>
    </w:p>
    <w:p w:rsidR="00F370ED" w:rsidRDefault="00292ED6">
      <w:pPr>
        <w:pStyle w:val="ListParagraph"/>
        <w:numPr>
          <w:ilvl w:val="0"/>
          <w:numId w:val="1"/>
        </w:numPr>
        <w:tabs>
          <w:tab w:val="left" w:pos="400"/>
        </w:tabs>
        <w:spacing w:line="244" w:lineRule="auto"/>
        <w:ind w:hanging="1"/>
        <w:jc w:val="both"/>
        <w:rPr>
          <w:sz w:val="24"/>
        </w:rPr>
      </w:pPr>
      <w:r>
        <w:rPr>
          <w:sz w:val="24"/>
        </w:rPr>
        <w:t>Страните се споразумяха за следните промени в Споразумение за изпълнение на програма „Правосъдие“, подписано на 05.07.2018</w:t>
      </w:r>
      <w:r>
        <w:rPr>
          <w:spacing w:val="-8"/>
          <w:sz w:val="24"/>
        </w:rPr>
        <w:t xml:space="preserve"> </w:t>
      </w:r>
      <w:r>
        <w:rPr>
          <w:sz w:val="24"/>
        </w:rPr>
        <w:t>г.:</w:t>
      </w:r>
    </w:p>
    <w:p w:rsidR="00F370ED" w:rsidRDefault="00292ED6">
      <w:pPr>
        <w:pStyle w:val="ListParagraph"/>
        <w:numPr>
          <w:ilvl w:val="1"/>
          <w:numId w:val="1"/>
        </w:numPr>
        <w:tabs>
          <w:tab w:val="left" w:pos="830"/>
        </w:tabs>
        <w:spacing w:before="0"/>
        <w:ind w:right="1635" w:hanging="354"/>
        <w:jc w:val="both"/>
        <w:rPr>
          <w:sz w:val="24"/>
        </w:rPr>
      </w:pPr>
      <w:r>
        <w:rPr>
          <w:sz w:val="24"/>
        </w:rPr>
        <w:t xml:space="preserve">В чл. 5.1.7 </w:t>
      </w:r>
      <w:r>
        <w:rPr>
          <w:w w:val="90"/>
          <w:sz w:val="24"/>
        </w:rPr>
        <w:t xml:space="preserve">— </w:t>
      </w:r>
      <w:r>
        <w:rPr>
          <w:sz w:val="24"/>
        </w:rPr>
        <w:t>заличава се изречени</w:t>
      </w:r>
      <w:r w:rsidR="00AA67AC">
        <w:rPr>
          <w:sz w:val="24"/>
        </w:rPr>
        <w:t>ето: „Ако не е налице пълна техническа възм</w:t>
      </w:r>
      <w:r>
        <w:rPr>
          <w:sz w:val="24"/>
        </w:rPr>
        <w:t>ожност на съответните модули на ИСУН 2020, подаването на проектните предложения и тяхната оценка се извършва на хартиен</w:t>
      </w:r>
      <w:r>
        <w:rPr>
          <w:spacing w:val="5"/>
          <w:sz w:val="24"/>
        </w:rPr>
        <w:t xml:space="preserve"> </w:t>
      </w:r>
      <w:r>
        <w:rPr>
          <w:sz w:val="24"/>
        </w:rPr>
        <w:t>носител“;</w:t>
      </w:r>
    </w:p>
    <w:p w:rsidR="00F370ED" w:rsidRDefault="00292ED6">
      <w:pPr>
        <w:pStyle w:val="ListParagraph"/>
        <w:numPr>
          <w:ilvl w:val="1"/>
          <w:numId w:val="1"/>
        </w:numPr>
        <w:tabs>
          <w:tab w:val="left" w:pos="830"/>
        </w:tabs>
        <w:spacing w:line="237" w:lineRule="auto"/>
        <w:ind w:left="829" w:hanging="361"/>
        <w:jc w:val="both"/>
        <w:rPr>
          <w:sz w:val="24"/>
        </w:rPr>
      </w:pPr>
      <w:r>
        <w:rPr>
          <w:sz w:val="24"/>
        </w:rPr>
        <w:t xml:space="preserve">В чл. 5.1.11 </w:t>
      </w:r>
      <w:r>
        <w:rPr>
          <w:w w:val="90"/>
          <w:sz w:val="24"/>
        </w:rPr>
        <w:t xml:space="preserve">— </w:t>
      </w:r>
      <w:r w:rsidR="00AA67AC">
        <w:rPr>
          <w:sz w:val="24"/>
        </w:rPr>
        <w:t>заличава се и</w:t>
      </w:r>
      <w:r>
        <w:rPr>
          <w:sz w:val="24"/>
        </w:rPr>
        <w:t>зречението: „Форматът на договор се изготвя от Националното координационно звено в съответствие с изискванията на Регламента“;</w:t>
      </w:r>
    </w:p>
    <w:p w:rsidR="00F370ED" w:rsidRDefault="00292ED6">
      <w:pPr>
        <w:pStyle w:val="ListParagraph"/>
        <w:numPr>
          <w:ilvl w:val="1"/>
          <w:numId w:val="1"/>
        </w:numPr>
        <w:tabs>
          <w:tab w:val="left" w:pos="834"/>
        </w:tabs>
        <w:spacing w:before="6"/>
        <w:ind w:hanging="350"/>
        <w:jc w:val="both"/>
        <w:rPr>
          <w:sz w:val="24"/>
        </w:rPr>
      </w:pPr>
      <w:r>
        <w:rPr>
          <w:sz w:val="24"/>
        </w:rPr>
        <w:t>Чл. 17.2 се изменя, както следва: „При определяне на конкретни</w:t>
      </w:r>
      <w:r w:rsidR="00AA67AC">
        <w:rPr>
          <w:sz w:val="24"/>
        </w:rPr>
        <w:t>я размер на финансовите корекции</w:t>
      </w:r>
      <w:r>
        <w:rPr>
          <w:sz w:val="24"/>
        </w:rPr>
        <w:t xml:space="preserve"> Програмния</w:t>
      </w:r>
      <w:r w:rsidR="00AA67AC">
        <w:rPr>
          <w:sz w:val="24"/>
        </w:rPr>
        <w:t>т оператор използва като референ</w:t>
      </w:r>
      <w:r>
        <w:rPr>
          <w:sz w:val="24"/>
        </w:rPr>
        <w:t>ция Насоките за определяне на финансови корекции, които да бъдат извършвани върху финансираните от Съюза разходи в рамките на споделеното управление, както и спрямо кореспондиращото на</w:t>
      </w:r>
      <w:r w:rsidR="00AA67AC">
        <w:rPr>
          <w:sz w:val="24"/>
        </w:rPr>
        <w:t>ционално финансиране, в случай н</w:t>
      </w:r>
      <w:r>
        <w:rPr>
          <w:sz w:val="24"/>
        </w:rPr>
        <w:t>а неспазване</w:t>
      </w:r>
      <w:r>
        <w:rPr>
          <w:spacing w:val="-4"/>
          <w:sz w:val="24"/>
        </w:rPr>
        <w:t xml:space="preserve"> </w:t>
      </w:r>
      <w:r w:rsidR="00AA67AC">
        <w:rPr>
          <w:sz w:val="24"/>
        </w:rPr>
        <w:t>н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 w:rsidR="00AA67AC">
        <w:rPr>
          <w:sz w:val="24"/>
        </w:rPr>
        <w:t>прави</w:t>
      </w:r>
      <w:r>
        <w:rPr>
          <w:sz w:val="24"/>
        </w:rPr>
        <w:t>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възлагане 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обществени</w:t>
      </w:r>
      <w:r>
        <w:rPr>
          <w:spacing w:val="-7"/>
          <w:sz w:val="24"/>
        </w:rPr>
        <w:t xml:space="preserve"> </w:t>
      </w:r>
      <w:r>
        <w:rPr>
          <w:sz w:val="24"/>
        </w:rPr>
        <w:t>поръчки,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приети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 С (2019) 34</w:t>
      </w:r>
      <w:r w:rsidR="00AA67AC">
        <w:rPr>
          <w:sz w:val="24"/>
        </w:rPr>
        <w:t>52 от 14.05.2019 г., като се отч</w:t>
      </w:r>
      <w:r>
        <w:rPr>
          <w:sz w:val="24"/>
        </w:rPr>
        <w:t>итат сп</w:t>
      </w:r>
      <w:r w:rsidR="00AA67AC">
        <w:rPr>
          <w:sz w:val="24"/>
        </w:rPr>
        <w:t>ецификите на Регламента за изпъл</w:t>
      </w:r>
      <w:r>
        <w:rPr>
          <w:sz w:val="24"/>
        </w:rPr>
        <w:t>нение на Норвежкия финансов</w:t>
      </w:r>
      <w:r>
        <w:rPr>
          <w:spacing w:val="28"/>
          <w:sz w:val="24"/>
        </w:rPr>
        <w:t xml:space="preserve"> </w:t>
      </w:r>
      <w:r>
        <w:rPr>
          <w:sz w:val="24"/>
        </w:rPr>
        <w:t>механизъм“;</w:t>
      </w:r>
    </w:p>
    <w:p w:rsidR="00F370ED" w:rsidRDefault="00292ED6">
      <w:pPr>
        <w:pStyle w:val="ListParagraph"/>
        <w:numPr>
          <w:ilvl w:val="1"/>
          <w:numId w:val="1"/>
        </w:numPr>
        <w:tabs>
          <w:tab w:val="left" w:pos="834"/>
        </w:tabs>
        <w:spacing w:before="24"/>
        <w:ind w:left="835" w:right="1630" w:hanging="359"/>
        <w:jc w:val="both"/>
        <w:rPr>
          <w:sz w:val="24"/>
        </w:rPr>
      </w:pPr>
      <w:r>
        <w:rPr>
          <w:sz w:val="24"/>
        </w:rPr>
        <w:t>Чл. 17.3. се изменя, както следва: „При необходимост Националното коорди</w:t>
      </w:r>
      <w:r w:rsidR="00AA67AC">
        <w:rPr>
          <w:sz w:val="24"/>
        </w:rPr>
        <w:t xml:space="preserve">национно звено предоставя </w:t>
      </w:r>
      <w:proofErr w:type="spellStart"/>
      <w:r w:rsidR="00AA67AC">
        <w:rPr>
          <w:sz w:val="24"/>
        </w:rPr>
        <w:t>методо</w:t>
      </w:r>
      <w:r>
        <w:rPr>
          <w:sz w:val="24"/>
        </w:rPr>
        <w:t>логическо</w:t>
      </w:r>
      <w:proofErr w:type="spellEnd"/>
      <w:r>
        <w:rPr>
          <w:sz w:val="24"/>
        </w:rPr>
        <w:t xml:space="preserve"> ръководство относно налагането </w:t>
      </w:r>
      <w:r w:rsidR="00AA67AC">
        <w:rPr>
          <w:sz w:val="24"/>
        </w:rPr>
        <w:t>па финансови корекции, като окон</w:t>
      </w:r>
      <w:r>
        <w:rPr>
          <w:sz w:val="24"/>
        </w:rPr>
        <w:t>чателното решение се взема от Програмния оператор. Финансовите корекции се налагат само, след като бъде дадена възможност на бенефициента по съответния проект да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</w:t>
      </w:r>
    </w:p>
    <w:p w:rsidR="00F370ED" w:rsidRDefault="00F370ED">
      <w:pPr>
        <w:jc w:val="both"/>
        <w:rPr>
          <w:sz w:val="24"/>
        </w:rPr>
        <w:sectPr w:rsidR="00F370ED">
          <w:type w:val="continuous"/>
          <w:pgSz w:w="11900" w:h="16840"/>
          <w:pgMar w:top="540" w:right="80" w:bottom="280" w:left="1100" w:header="708" w:footer="708" w:gutter="0"/>
          <w:cols w:space="708"/>
        </w:sectPr>
      </w:pPr>
    </w:p>
    <w:p w:rsidR="00F370ED" w:rsidRDefault="00292ED6">
      <w:pPr>
        <w:pStyle w:val="BodyText"/>
        <w:spacing w:before="65"/>
        <w:ind w:left="842" w:right="1606" w:firstLine="4"/>
        <w:jc w:val="both"/>
      </w:pPr>
      <w:r>
        <w:lastRenderedPageBreak/>
        <w:t>становище във връзка с предложената корекция. До бенефициента се</w:t>
      </w:r>
      <w:r w:rsidR="00AA67AC">
        <w:t xml:space="preserve"> изпраща мотивирано писмо относно съществуващото съмнение за нарушен</w:t>
      </w:r>
      <w:r>
        <w:t>ие, като задължително</w:t>
      </w:r>
      <w:r>
        <w:rPr>
          <w:spacing w:val="-5"/>
        </w:rPr>
        <w:t xml:space="preserve"> </w:t>
      </w:r>
      <w:r>
        <w:t>се</w:t>
      </w:r>
      <w:r>
        <w:rPr>
          <w:spacing w:val="-18"/>
        </w:rPr>
        <w:t xml:space="preserve"> </w:t>
      </w:r>
      <w:r>
        <w:t>посочва</w:t>
      </w:r>
      <w:r>
        <w:rPr>
          <w:spacing w:val="-19"/>
        </w:rPr>
        <w:t xml:space="preserve"> </w:t>
      </w:r>
      <w:r>
        <w:t>вида</w:t>
      </w:r>
      <w:r>
        <w:rPr>
          <w:spacing w:val="-17"/>
        </w:rPr>
        <w:t xml:space="preserve"> </w:t>
      </w:r>
      <w:r>
        <w:t>на</w:t>
      </w:r>
      <w:r>
        <w:rPr>
          <w:spacing w:val="-24"/>
        </w:rPr>
        <w:t xml:space="preserve"> </w:t>
      </w:r>
      <w:r>
        <w:t>нарушението,</w:t>
      </w:r>
      <w:r>
        <w:rPr>
          <w:spacing w:val="-3"/>
        </w:rPr>
        <w:t xml:space="preserve"> </w:t>
      </w:r>
      <w:r w:rsidR="00AA67AC">
        <w:t>нормативни</w:t>
      </w:r>
      <w:r>
        <w:t>те</w:t>
      </w:r>
      <w:r>
        <w:rPr>
          <w:spacing w:val="3"/>
        </w:rPr>
        <w:t xml:space="preserve"> </w:t>
      </w:r>
      <w:r>
        <w:t>разпоредби,</w:t>
      </w:r>
      <w:r>
        <w:rPr>
          <w:spacing w:val="-11"/>
        </w:rPr>
        <w:t xml:space="preserve"> </w:t>
      </w:r>
      <w:r>
        <w:t>които са нарушени, избрания метод за определяне на корекция и размера па финансовата корекция.</w:t>
      </w:r>
      <w:r>
        <w:rPr>
          <w:spacing w:val="-31"/>
        </w:rPr>
        <w:t xml:space="preserve"> </w:t>
      </w:r>
      <w:r>
        <w:t>“</w:t>
      </w:r>
    </w:p>
    <w:p w:rsidR="00F370ED" w:rsidRDefault="00F370ED">
      <w:pPr>
        <w:pStyle w:val="BodyText"/>
        <w:rPr>
          <w:sz w:val="26"/>
        </w:rPr>
      </w:pPr>
    </w:p>
    <w:p w:rsidR="00F370ED" w:rsidRDefault="00F370ED">
      <w:pPr>
        <w:pStyle w:val="BodyText"/>
        <w:spacing w:before="7"/>
        <w:rPr>
          <w:sz w:val="22"/>
        </w:rPr>
      </w:pPr>
    </w:p>
    <w:p w:rsidR="00F370ED" w:rsidRDefault="00292ED6">
      <w:pPr>
        <w:pStyle w:val="BodyText"/>
        <w:spacing w:line="237" w:lineRule="auto"/>
        <w:ind w:left="133" w:right="1599" w:firstLine="4"/>
      </w:pPr>
      <w:r>
        <w:t>Всички останали клаузи на Споразумението за изпълнение на програма „Правосъдие“ остават непроменени.</w:t>
      </w:r>
    </w:p>
    <w:p w:rsidR="00F370ED" w:rsidRDefault="00F370ED">
      <w:pPr>
        <w:pStyle w:val="BodyText"/>
        <w:spacing w:before="4"/>
        <w:rPr>
          <w:sz w:val="23"/>
        </w:rPr>
      </w:pPr>
    </w:p>
    <w:p w:rsidR="00F370ED" w:rsidRDefault="00292ED6">
      <w:pPr>
        <w:pStyle w:val="BodyText"/>
        <w:tabs>
          <w:tab w:val="left" w:pos="4043"/>
        </w:tabs>
        <w:spacing w:line="280" w:lineRule="atLeast"/>
        <w:ind w:left="129" w:right="1599" w:firstLine="8"/>
      </w:pPr>
      <w:r>
        <w:t xml:space="preserve">Настоящото </w:t>
      </w:r>
      <w:r>
        <w:rPr>
          <w:spacing w:val="20"/>
        </w:rPr>
        <w:t xml:space="preserve"> </w:t>
      </w:r>
      <w:r>
        <w:t xml:space="preserve">изменение </w:t>
      </w:r>
      <w:r>
        <w:rPr>
          <w:spacing w:val="18"/>
        </w:rPr>
        <w:t xml:space="preserve"> </w:t>
      </w:r>
      <w:r>
        <w:t>(</w:t>
      </w:r>
      <w:proofErr w:type="spellStart"/>
      <w:r>
        <w:t>Адемдум</w:t>
      </w:r>
      <w:proofErr w:type="spellEnd"/>
      <w:r>
        <w:t>)</w:t>
      </w:r>
      <w:r>
        <w:tab/>
        <w:t xml:space="preserve">става неразделна част от Споразумението за изпълнение на програма „Правосъдие“, като </w:t>
      </w:r>
      <w:r w:rsidR="00AA67AC">
        <w:rPr>
          <w:spacing w:val="-7"/>
        </w:rPr>
        <w:t>същото</w:t>
      </w:r>
      <w:r>
        <w:rPr>
          <w:i/>
          <w:spacing w:val="-7"/>
        </w:rPr>
        <w:t xml:space="preserve"> </w:t>
      </w:r>
      <w:r>
        <w:t>влиза в сила на датата, на която</w:t>
      </w:r>
      <w:r>
        <w:rPr>
          <w:spacing w:val="13"/>
        </w:rPr>
        <w:t xml:space="preserve"> </w:t>
      </w:r>
      <w:r>
        <w:t>е</w:t>
      </w:r>
    </w:p>
    <w:p w:rsidR="00F370ED" w:rsidRDefault="00292ED6">
      <w:pPr>
        <w:pStyle w:val="BodyText"/>
        <w:tabs>
          <w:tab w:val="left" w:pos="10560"/>
        </w:tabs>
        <w:spacing w:line="274" w:lineRule="exact"/>
        <w:ind w:left="136"/>
      </w:pPr>
      <w:r>
        <w:t>подписано</w:t>
      </w:r>
      <w:r>
        <w:rPr>
          <w:spacing w:val="-9"/>
        </w:rPr>
        <w:t xml:space="preserve"> </w:t>
      </w:r>
      <w:r>
        <w:t>от</w:t>
      </w:r>
      <w:r>
        <w:rPr>
          <w:spacing w:val="-27"/>
        </w:rPr>
        <w:t xml:space="preserve"> </w:t>
      </w:r>
      <w:r>
        <w:t>последната</w:t>
      </w:r>
      <w:r>
        <w:rPr>
          <w:spacing w:val="-21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страните.</w:t>
      </w:r>
      <w:r>
        <w:tab/>
      </w:r>
      <w:r>
        <w:rPr>
          <w:noProof/>
          <w:position w:val="-3"/>
          <w:lang w:bidi="ar-SA"/>
        </w:rPr>
        <w:drawing>
          <wp:inline distT="0" distB="0" distL="0" distR="0">
            <wp:extent cx="9144" cy="24689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0ED" w:rsidRDefault="00AA67AC">
      <w:pPr>
        <w:pStyle w:val="BodyText"/>
        <w:spacing w:before="129" w:line="237" w:lineRule="auto"/>
        <w:ind w:left="130" w:right="1599" w:firstLine="2"/>
      </w:pPr>
      <w:r>
        <w:t>Съставен</w:t>
      </w:r>
      <w:r w:rsidR="00292ED6">
        <w:t xml:space="preserve">о е на български език, в два оригинални екземпляра </w:t>
      </w:r>
      <w:r>
        <w:t>- един за HK3 и един за Програмн</w:t>
      </w:r>
      <w:r w:rsidR="00292ED6">
        <w:t>ия оператор.</w:t>
      </w: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tbl>
      <w:tblPr>
        <w:tblpPr w:leftFromText="141" w:rightFromText="141" w:vertAnchor="text" w:horzAnchor="margin" w:tblpY="-1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7"/>
        <w:gridCol w:w="5164"/>
      </w:tblGrid>
      <w:tr w:rsidR="00292ED6" w:rsidTr="00292ED6">
        <w:trPr>
          <w:trHeight w:val="116"/>
        </w:trPr>
        <w:tc>
          <w:tcPr>
            <w:tcW w:w="5427" w:type="dxa"/>
          </w:tcPr>
          <w:p w:rsidR="00292ED6" w:rsidRDefault="00292ED6" w:rsidP="00292ED6">
            <w:pPr>
              <w:pStyle w:val="TableParagraph"/>
              <w:spacing w:line="259" w:lineRule="exact"/>
              <w:ind w:left="11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РЪКОВОДИТЕЛ НА HK3:</w:t>
            </w:r>
          </w:p>
        </w:tc>
        <w:tc>
          <w:tcPr>
            <w:tcW w:w="5164" w:type="dxa"/>
          </w:tcPr>
          <w:p w:rsidR="00292ED6" w:rsidRDefault="00292ED6" w:rsidP="00292ED6">
            <w:pPr>
              <w:pStyle w:val="TableParagraph"/>
            </w:pPr>
          </w:p>
          <w:p w:rsidR="00292ED6" w:rsidRDefault="00292ED6" w:rsidP="00292ED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OПEPATOP:</w:t>
            </w:r>
          </w:p>
        </w:tc>
      </w:tr>
      <w:tr w:rsidR="00292ED6" w:rsidTr="00292ED6">
        <w:trPr>
          <w:trHeight w:val="311"/>
        </w:trPr>
        <w:tc>
          <w:tcPr>
            <w:tcW w:w="5427" w:type="dxa"/>
          </w:tcPr>
          <w:p w:rsidR="00292ED6" w:rsidRDefault="00292ED6" w:rsidP="00292ED6">
            <w:pPr>
              <w:pStyle w:val="TableParagraph"/>
              <w:rPr>
                <w:sz w:val="24"/>
              </w:rPr>
            </w:pPr>
          </w:p>
        </w:tc>
        <w:tc>
          <w:tcPr>
            <w:tcW w:w="5164" w:type="dxa"/>
          </w:tcPr>
          <w:p w:rsidR="00292ED6" w:rsidRDefault="00292ED6" w:rsidP="00292ED6">
            <w:pPr>
              <w:pStyle w:val="TableParagraph"/>
              <w:rPr>
                <w:sz w:val="24"/>
              </w:rPr>
            </w:pPr>
          </w:p>
        </w:tc>
      </w:tr>
      <w:tr w:rsidR="00292ED6" w:rsidTr="00292ED6">
        <w:trPr>
          <w:trHeight w:val="194"/>
        </w:trPr>
        <w:tc>
          <w:tcPr>
            <w:tcW w:w="5427" w:type="dxa"/>
          </w:tcPr>
          <w:p w:rsidR="00292ED6" w:rsidRDefault="00292ED6" w:rsidP="00292ED6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 w:rsidRPr="00292ED6">
              <w:rPr>
                <w:w w:val="90"/>
                <w:sz w:val="24"/>
              </w:rPr>
              <w:t>ИВАН ИВАНОВ</w:t>
            </w:r>
            <w:r>
              <w:rPr>
                <w:w w:val="90"/>
                <w:sz w:val="24"/>
              </w:rPr>
              <w:t xml:space="preserve"> — </w:t>
            </w:r>
          </w:p>
          <w:p w:rsidR="00292ED6" w:rsidRDefault="00292ED6" w:rsidP="00292ED6">
            <w:pPr>
              <w:pStyle w:val="TableParagraph"/>
              <w:spacing w:before="5"/>
              <w:ind w:left="119" w:right="113" w:firstLine="1"/>
              <w:rPr>
                <w:sz w:val="24"/>
              </w:rPr>
            </w:pPr>
            <w:r>
              <w:rPr>
                <w:sz w:val="24"/>
              </w:rPr>
              <w:t>ДИРЕКТОР НА ДИРЕКЦИЯ “ЦЕНТРАЛНО КООРДИНАЦИОННО ЗВЕНО” МИНИСТЕРСКИ СЪВЕТ</w:t>
            </w:r>
          </w:p>
        </w:tc>
        <w:tc>
          <w:tcPr>
            <w:tcW w:w="5164" w:type="dxa"/>
          </w:tcPr>
          <w:p w:rsidR="00292ED6" w:rsidRDefault="00292ED6" w:rsidP="00292ED6">
            <w:pPr>
              <w:pStyle w:val="TableParagraph"/>
              <w:spacing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ПРОФ. НИКОЛАЙ ПРОДАНОВ</w:t>
            </w:r>
          </w:p>
          <w:p w:rsidR="00292ED6" w:rsidRDefault="00292ED6" w:rsidP="00292ED6">
            <w:pPr>
              <w:pStyle w:val="TableParagraph"/>
              <w:spacing w:before="7" w:line="237" w:lineRule="auto"/>
              <w:ind w:left="122" w:firstLine="6"/>
              <w:rPr>
                <w:sz w:val="24"/>
              </w:rPr>
            </w:pPr>
            <w:r>
              <w:rPr>
                <w:w w:val="95"/>
                <w:sz w:val="24"/>
              </w:rPr>
              <w:t xml:space="preserve">ЗАМЕСТНИК-МИНИСТЪР НА </w:t>
            </w:r>
            <w:r>
              <w:rPr>
                <w:sz w:val="24"/>
              </w:rPr>
              <w:t>ПРАВОСЪДИЕТО</w:t>
            </w:r>
          </w:p>
        </w:tc>
      </w:tr>
      <w:tr w:rsidR="00292ED6" w:rsidTr="00292ED6">
        <w:trPr>
          <w:trHeight w:val="116"/>
        </w:trPr>
        <w:tc>
          <w:tcPr>
            <w:tcW w:w="5427" w:type="dxa"/>
          </w:tcPr>
          <w:p w:rsidR="00292ED6" w:rsidRDefault="00292ED6" w:rsidP="00292ED6">
            <w:pPr>
              <w:pStyle w:val="TableParagraph"/>
              <w:spacing w:line="241" w:lineRule="exact"/>
              <w:ind w:left="119"/>
              <w:rPr>
                <w:i/>
                <w:sz w:val="24"/>
              </w:rPr>
            </w:pPr>
            <w:r>
              <w:rPr>
                <w:sz w:val="24"/>
              </w:rPr>
              <w:t xml:space="preserve">ГР. </w:t>
            </w:r>
            <w:r>
              <w:rPr>
                <w:i/>
                <w:sz w:val="24"/>
              </w:rPr>
              <w:t>СОФИЯ</w:t>
            </w:r>
          </w:p>
          <w:p w:rsidR="00292ED6" w:rsidRDefault="00292ED6" w:rsidP="00292ED6">
            <w:pPr>
              <w:pStyle w:val="TableParagraph"/>
              <w:spacing w:before="5"/>
              <w:ind w:left="121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  <w:tc>
          <w:tcPr>
            <w:tcW w:w="5164" w:type="dxa"/>
          </w:tcPr>
          <w:p w:rsidR="00292ED6" w:rsidRDefault="00292ED6" w:rsidP="00292ED6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>
              <w:rPr>
                <w:sz w:val="24"/>
              </w:rPr>
              <w:t>ГР. СОФИЯ</w:t>
            </w:r>
          </w:p>
          <w:p w:rsidR="00292ED6" w:rsidRDefault="00292ED6" w:rsidP="00292ED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</w:tbl>
    <w:p w:rsidR="00F370ED" w:rsidRDefault="00F370ED">
      <w:pPr>
        <w:pStyle w:val="BodyText"/>
        <w:spacing w:before="6"/>
        <w:rPr>
          <w:sz w:val="1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F370ED">
      <w:pPr>
        <w:pStyle w:val="BodyText"/>
        <w:rPr>
          <w:sz w:val="20"/>
        </w:rPr>
      </w:pPr>
    </w:p>
    <w:p w:rsidR="00F370ED" w:rsidRDefault="00292ED6">
      <w:pPr>
        <w:pStyle w:val="BodyText"/>
        <w:spacing w:before="180"/>
        <w:ind w:right="1600"/>
        <w:jc w:val="right"/>
        <w:rPr>
          <w:rFonts w:ascii="Consolas"/>
        </w:rPr>
      </w:pPr>
      <w:r>
        <w:rPr>
          <w:rFonts w:ascii="Consolas"/>
          <w:w w:val="97"/>
        </w:rPr>
        <w:t>2</w:t>
      </w:r>
    </w:p>
    <w:sectPr w:rsidR="00F370ED">
      <w:pgSz w:w="11900" w:h="16840"/>
      <w:pgMar w:top="1240" w:right="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3648"/>
    <w:multiLevelType w:val="hybridMultilevel"/>
    <w:tmpl w:val="2FFAF8E6"/>
    <w:lvl w:ilvl="0" w:tplc="5842427E">
      <w:start w:val="1"/>
      <w:numFmt w:val="decimal"/>
      <w:lvlText w:val="%1."/>
      <w:lvlJc w:val="left"/>
      <w:pPr>
        <w:ind w:left="107" w:hanging="293"/>
        <w:jc w:val="left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bg-BG" w:eastAsia="bg-BG" w:bidi="bg-BG"/>
      </w:rPr>
    </w:lvl>
    <w:lvl w:ilvl="1" w:tplc="52DE7736">
      <w:start w:val="1"/>
      <w:numFmt w:val="decimal"/>
      <w:lvlText w:val="%2."/>
      <w:lvlJc w:val="left"/>
      <w:pPr>
        <w:ind w:left="827" w:hanging="355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bg-BG" w:eastAsia="bg-BG" w:bidi="bg-BG"/>
      </w:rPr>
    </w:lvl>
    <w:lvl w:ilvl="2" w:tplc="D9169864">
      <w:numFmt w:val="bullet"/>
      <w:lvlText w:val="•"/>
      <w:lvlJc w:val="left"/>
      <w:pPr>
        <w:ind w:left="1920" w:hanging="355"/>
      </w:pPr>
      <w:rPr>
        <w:rFonts w:hint="default"/>
        <w:lang w:val="bg-BG" w:eastAsia="bg-BG" w:bidi="bg-BG"/>
      </w:rPr>
    </w:lvl>
    <w:lvl w:ilvl="3" w:tplc="A084933C">
      <w:numFmt w:val="bullet"/>
      <w:lvlText w:val="•"/>
      <w:lvlJc w:val="left"/>
      <w:pPr>
        <w:ind w:left="3020" w:hanging="355"/>
      </w:pPr>
      <w:rPr>
        <w:rFonts w:hint="default"/>
        <w:lang w:val="bg-BG" w:eastAsia="bg-BG" w:bidi="bg-BG"/>
      </w:rPr>
    </w:lvl>
    <w:lvl w:ilvl="4" w:tplc="072A13EC">
      <w:numFmt w:val="bullet"/>
      <w:lvlText w:val="•"/>
      <w:lvlJc w:val="left"/>
      <w:pPr>
        <w:ind w:left="4120" w:hanging="355"/>
      </w:pPr>
      <w:rPr>
        <w:rFonts w:hint="default"/>
        <w:lang w:val="bg-BG" w:eastAsia="bg-BG" w:bidi="bg-BG"/>
      </w:rPr>
    </w:lvl>
    <w:lvl w:ilvl="5" w:tplc="BC022F5C">
      <w:numFmt w:val="bullet"/>
      <w:lvlText w:val="•"/>
      <w:lvlJc w:val="left"/>
      <w:pPr>
        <w:ind w:left="5220" w:hanging="355"/>
      </w:pPr>
      <w:rPr>
        <w:rFonts w:hint="default"/>
        <w:lang w:val="bg-BG" w:eastAsia="bg-BG" w:bidi="bg-BG"/>
      </w:rPr>
    </w:lvl>
    <w:lvl w:ilvl="6" w:tplc="20FA7464">
      <w:numFmt w:val="bullet"/>
      <w:lvlText w:val="•"/>
      <w:lvlJc w:val="left"/>
      <w:pPr>
        <w:ind w:left="6320" w:hanging="355"/>
      </w:pPr>
      <w:rPr>
        <w:rFonts w:hint="default"/>
        <w:lang w:val="bg-BG" w:eastAsia="bg-BG" w:bidi="bg-BG"/>
      </w:rPr>
    </w:lvl>
    <w:lvl w:ilvl="7" w:tplc="C0921A06">
      <w:numFmt w:val="bullet"/>
      <w:lvlText w:val="•"/>
      <w:lvlJc w:val="left"/>
      <w:pPr>
        <w:ind w:left="7420" w:hanging="355"/>
      </w:pPr>
      <w:rPr>
        <w:rFonts w:hint="default"/>
        <w:lang w:val="bg-BG" w:eastAsia="bg-BG" w:bidi="bg-BG"/>
      </w:rPr>
    </w:lvl>
    <w:lvl w:ilvl="8" w:tplc="A0600C34">
      <w:numFmt w:val="bullet"/>
      <w:lvlText w:val="•"/>
      <w:lvlJc w:val="left"/>
      <w:pPr>
        <w:ind w:left="8520" w:hanging="355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ED"/>
    <w:rsid w:val="00292ED6"/>
    <w:rsid w:val="00AA67AC"/>
    <w:rsid w:val="00E53120"/>
    <w:rsid w:val="00F3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9FB7"/>
  <w15:docId w15:val="{27C823C7-08F5-4C24-8147-3E0401D5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27" w:right="162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Gurmeva</dc:creator>
  <cp:lastModifiedBy>Silvia Gurmeva</cp:lastModifiedBy>
  <cp:revision>3</cp:revision>
  <dcterms:created xsi:type="dcterms:W3CDTF">2021-01-26T08:58:00Z</dcterms:created>
  <dcterms:modified xsi:type="dcterms:W3CDTF">2021-01-26T09:26:00Z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TOSHIBA e-STUDIO4508A</vt:lpwstr>
  </property>
  <property fmtid="{D5CDD505-2E9C-101B-9397-08002B2CF9AE}" pid="4" name="LastSaved">
    <vt:filetime>2021-01-26T00:00:00Z</vt:filetime>
  </property>
</Properties>
</file>